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2B11B7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F12B5F">
        <w:rPr>
          <w:szCs w:val="28"/>
        </w:rPr>
        <w:t>05.10.2020 № 3429р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F26E5F" w:rsidRDefault="00340D11" w:rsidP="00F26E5F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F26E5F" w:rsidP="00F26E5F">
      <w:pPr>
        <w:tabs>
          <w:tab w:val="left" w:pos="8364"/>
        </w:tabs>
        <w:jc w:val="center"/>
        <w:rPr>
          <w:b/>
          <w:szCs w:val="28"/>
        </w:rPr>
      </w:pPr>
      <w:r w:rsidRPr="00F26E5F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="002B11B7" w:rsidRPr="002B11B7">
        <w:rPr>
          <w:b/>
          <w:szCs w:val="28"/>
        </w:rPr>
        <w:t>"Детский  сад  комбинированного  вида № 118 "Калинушка"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06C2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12B5F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BDE5-D521-4B42-801A-8FDB786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2020-10-05T06:50:00Z</dcterms:created>
  <dcterms:modified xsi:type="dcterms:W3CDTF">2020-10-05T06:50:00Z</dcterms:modified>
</cp:coreProperties>
</file>